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25" w:lineRule="exact"/>
        <w:ind w:left="0" w:right="0" w:firstLine="0"/>
        <w:jc w:val="left"/>
        <w:rPr>
          <w:rFonts w:ascii="黑体"/>
          <w:color w:val="000000"/>
          <w:spacing w:val="0"/>
          <w:sz w:val="32"/>
        </w:rPr>
      </w:pPr>
      <w:r>
        <w:rPr>
          <w:rFonts w:ascii="黑体" w:hAnsi="黑体" w:cs="黑体"/>
          <w:color w:val="000000"/>
          <w:spacing w:val="10"/>
          <w:sz w:val="32"/>
        </w:rPr>
        <w:t>附件</w:t>
      </w:r>
      <w:r>
        <w:rPr>
          <w:rFonts w:ascii="Times New Roman"/>
          <w:color w:val="000000"/>
          <w:spacing w:val="-5"/>
          <w:sz w:val="32"/>
        </w:rPr>
        <w:t xml:space="preserve"> </w:t>
      </w:r>
      <w:r>
        <w:rPr>
          <w:rFonts w:ascii="黑体"/>
          <w:color w:val="000000"/>
          <w:spacing w:val="0"/>
          <w:sz w:val="32"/>
        </w:rPr>
        <w:t>1</w:t>
      </w:r>
    </w:p>
    <w:p>
      <w:pPr>
        <w:spacing w:before="799" w:after="0" w:line="529" w:lineRule="exact"/>
        <w:ind w:left="2658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WJBWE+FZXiaoBiaoSong-B05S" w:hAnsi="TWJBWE+FZXiaoBiaoSong-B05S" w:cs="TWJBWE+FZXiaoBiaoSong-B05S"/>
          <w:color w:val="000000"/>
          <w:spacing w:val="0"/>
          <w:sz w:val="44"/>
        </w:rPr>
        <w:t>河</w:t>
      </w:r>
      <w:r>
        <w:rPr>
          <w:rFonts w:ascii="Times New Roman"/>
          <w:color w:val="000000"/>
          <w:spacing w:val="66"/>
          <w:sz w:val="44"/>
        </w:rPr>
        <w:t xml:space="preserve"> </w:t>
      </w:r>
      <w:r>
        <w:rPr>
          <w:rFonts w:ascii="TWJBWE+FZXiaoBiaoSong-B05S" w:hAnsi="TWJBWE+FZXiaoBiaoSong-B05S" w:cs="TWJBWE+FZXiaoBiaoSong-B05S"/>
          <w:color w:val="000000"/>
          <w:spacing w:val="0"/>
          <w:sz w:val="44"/>
        </w:rPr>
        <w:t>南</w:t>
      </w:r>
      <w:r>
        <w:rPr>
          <w:rFonts w:ascii="Times New Roman"/>
          <w:color w:val="000000"/>
          <w:spacing w:val="65"/>
          <w:sz w:val="44"/>
        </w:rPr>
        <w:t xml:space="preserve"> </w:t>
      </w:r>
      <w:r>
        <w:rPr>
          <w:rFonts w:ascii="TWJBWE+FZXiaoBiaoSong-B05S" w:hAnsi="TWJBWE+FZXiaoBiaoSong-B05S" w:cs="TWJBWE+FZXiaoBiaoSong-B05S"/>
          <w:color w:val="000000"/>
          <w:spacing w:val="0"/>
          <w:sz w:val="44"/>
        </w:rPr>
        <w:t>省</w:t>
      </w:r>
      <w:r>
        <w:rPr>
          <w:rFonts w:ascii="Times New Roman"/>
          <w:color w:val="000000"/>
          <w:spacing w:val="66"/>
          <w:sz w:val="44"/>
        </w:rPr>
        <w:t xml:space="preserve"> </w:t>
      </w:r>
      <w:r>
        <w:rPr>
          <w:rFonts w:ascii="TWJBWE+FZXiaoBiaoSong-B05S" w:hAnsi="TWJBWE+FZXiaoBiaoSong-B05S" w:cs="TWJBWE+FZXiaoBiaoSong-B05S"/>
          <w:color w:val="000000"/>
          <w:spacing w:val="0"/>
          <w:sz w:val="44"/>
        </w:rPr>
        <w:t>教</w:t>
      </w:r>
      <w:r>
        <w:rPr>
          <w:rFonts w:ascii="Times New Roman"/>
          <w:color w:val="000000"/>
          <w:spacing w:val="65"/>
          <w:sz w:val="44"/>
        </w:rPr>
        <w:t xml:space="preserve"> </w:t>
      </w:r>
      <w:r>
        <w:rPr>
          <w:rFonts w:ascii="TWJBWE+FZXiaoBiaoSong-B05S" w:hAnsi="TWJBWE+FZXiaoBiaoSong-B05S" w:cs="TWJBWE+FZXiaoBiaoSong-B05S"/>
          <w:color w:val="000000"/>
          <w:spacing w:val="0"/>
          <w:sz w:val="44"/>
        </w:rPr>
        <w:t>育</w:t>
      </w:r>
      <w:r>
        <w:rPr>
          <w:rFonts w:ascii="Times New Roman"/>
          <w:color w:val="000000"/>
          <w:spacing w:val="66"/>
          <w:sz w:val="44"/>
        </w:rPr>
        <w:t xml:space="preserve"> </w:t>
      </w:r>
      <w:r>
        <w:rPr>
          <w:rFonts w:ascii="TWJBWE+FZXiaoBiaoSong-B05S" w:hAnsi="TWJBWE+FZXiaoBiaoSong-B05S" w:cs="TWJBWE+FZXiaoBiaoSong-B05S"/>
          <w:color w:val="000000"/>
          <w:spacing w:val="0"/>
          <w:sz w:val="44"/>
        </w:rPr>
        <w:t>厅</w:t>
      </w:r>
    </w:p>
    <w:p>
      <w:pPr>
        <w:spacing w:before="162" w:after="0" w:line="529" w:lineRule="exact"/>
        <w:ind w:left="36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imes New Roman"/>
          <w:color w:val="000000"/>
          <w:spacing w:val="-10"/>
          <w:sz w:val="44"/>
        </w:rPr>
        <w:t>2021</w:t>
      </w:r>
      <w:r>
        <w:rPr>
          <w:rFonts w:ascii="Times New Roman"/>
          <w:color w:val="000000"/>
          <w:spacing w:val="-21"/>
          <w:sz w:val="44"/>
        </w:rPr>
        <w:t xml:space="preserve"> </w:t>
      </w:r>
      <w:r>
        <w:rPr>
          <w:rFonts w:ascii="TWJBWE+FZXiaoBiaoSong-B05S" w:hAnsi="TWJBWE+FZXiaoBiaoSong-B05S" w:cs="TWJBWE+FZXiaoBiaoSong-B05S"/>
          <w:color w:val="000000"/>
          <w:spacing w:val="10"/>
          <w:sz w:val="44"/>
        </w:rPr>
        <w:t>年度教育法治专项课题研究项目指南</w:t>
      </w:r>
    </w:p>
    <w:p>
      <w:pPr>
        <w:spacing w:before="869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1.</w:t>
      </w:r>
      <w:r>
        <w:rPr>
          <w:rFonts w:ascii="QOOLLP+FangSong_GB2312" w:hAnsi="QOOLLP+FangSong_GB2312" w:cs="QOOLLP+FangSong_GB2312"/>
          <w:color w:val="000000"/>
          <w:spacing w:val="-2"/>
          <w:sz w:val="32"/>
        </w:rPr>
        <w:t>马克思主义法治理论研究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2.</w:t>
      </w:r>
      <w:r>
        <w:rPr>
          <w:rFonts w:ascii="QOOLLP+FangSong_GB2312" w:hAnsi="QOOLLP+FangSong_GB2312" w:cs="QOOLLP+FangSong_GB2312"/>
          <w:color w:val="000000"/>
          <w:spacing w:val="-2"/>
          <w:sz w:val="32"/>
        </w:rPr>
        <w:t>习近平法治思想理论和实践研究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3.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习近平法治思想精神内涵与时代特色研究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4.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习近平法治思想在教育领域实践研究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5.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以法治思维推进教育治理体系和治理能力现代化研究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6.</w:t>
      </w:r>
      <w:r>
        <w:rPr>
          <w:rFonts w:ascii="QOOLLP+FangSong_GB2312" w:hAnsi="QOOLLP+FangSong_GB2312" w:cs="QOOLLP+FangSong_GB2312"/>
          <w:color w:val="000000"/>
          <w:spacing w:val="0"/>
          <w:sz w:val="32"/>
        </w:rPr>
        <w:t>学生宪法教育研究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7.</w:t>
      </w:r>
      <w:r>
        <w:rPr>
          <w:rFonts w:ascii="QOOLLP+FangSong_GB2312" w:hAnsi="QOOLLP+FangSong_GB2312" w:cs="QOOLLP+FangSong_GB2312"/>
          <w:color w:val="000000"/>
          <w:spacing w:val="-2"/>
          <w:sz w:val="32"/>
        </w:rPr>
        <w:t>新时代教育普法体制机制创新研究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8.</w:t>
      </w:r>
      <w:r>
        <w:rPr>
          <w:rFonts w:ascii="QOOLLP+FangSong_GB2312" w:hAnsi="QOOLLP+FangSong_GB2312" w:cs="QOOLLP+FangSong_GB2312"/>
          <w:color w:val="000000"/>
          <w:spacing w:val="-2"/>
          <w:sz w:val="32"/>
        </w:rPr>
        <w:t>学生法治实践教育及案例教学研究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9.</w:t>
      </w:r>
      <w:r>
        <w:rPr>
          <w:rFonts w:ascii="QOOLLP+FangSong_GB2312" w:hAnsi="QOOLLP+FangSong_GB2312" w:cs="QOOLLP+FangSong_GB2312"/>
          <w:color w:val="000000"/>
          <w:spacing w:val="-2"/>
          <w:sz w:val="32"/>
        </w:rPr>
        <w:t>学生法治思维和行为习惯养成研究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10.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学生法治教育针对性、实效性研究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11.</w:t>
      </w:r>
      <w:r>
        <w:rPr>
          <w:rFonts w:ascii="QOOLLP+FangSong_GB2312" w:hAnsi="QOOLLP+FangSong_GB2312" w:cs="QOOLLP+FangSong_GB2312"/>
          <w:color w:val="000000"/>
          <w:spacing w:val="-4"/>
          <w:sz w:val="32"/>
        </w:rPr>
        <w:t>刑事责任年龄降低与中小学法治教育衔接研究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12.</w:t>
      </w:r>
      <w:r>
        <w:rPr>
          <w:rFonts w:ascii="QOOLLP+FangSong_GB2312" w:hAnsi="QOOLLP+FangSong_GB2312" w:cs="QOOLLP+FangSong_GB2312"/>
          <w:color w:val="000000"/>
          <w:spacing w:val="-4"/>
          <w:sz w:val="32"/>
        </w:rPr>
        <w:t>全面依法治国背景下大中小学法治课程体系研究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13.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加强法治教育师资队伍建设研究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14.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教师法治教育教学能力提升研究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15.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依法治教、依法治校实践研究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16.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中小学法治副校长工作机制研究</w:t>
      </w:r>
    </w:p>
    <w:p>
      <w:pPr>
        <w:spacing w:before="513" w:after="0" w:line="310" w:lineRule="exact"/>
        <w:ind w:left="7795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QOOLLP+FangSong_GB2312" w:hAnsi="QOOLLP+FangSong_GB2312" w:cs="QOOLLP+FangSong_GB2312"/>
          <w:color w:val="000000"/>
          <w:spacing w:val="0"/>
          <w:sz w:val="30"/>
        </w:rPr>
        <w:t>—</w:t>
      </w:r>
      <w:r>
        <w:rPr>
          <w:rFonts w:ascii="Times New Roman"/>
          <w:color w:val="000000"/>
          <w:spacing w:val="76"/>
          <w:sz w:val="30"/>
        </w:rPr>
        <w:t xml:space="preserve"> </w:t>
      </w:r>
      <w:r>
        <w:rPr>
          <w:rFonts w:ascii="CAPHBR+FangSong_GB2312"/>
          <w:color w:val="000000"/>
          <w:spacing w:val="0"/>
          <w:sz w:val="30"/>
        </w:rPr>
        <w:t xml:space="preserve">5 </w:t>
      </w:r>
      <w:r>
        <w:rPr>
          <w:rFonts w:ascii="QOOLLP+FangSong_GB2312" w:hAnsi="QOOLLP+FangSong_GB2312" w:cs="QOOLLP+FangSong_GB2312"/>
          <w:color w:val="000000"/>
          <w:spacing w:val="0"/>
          <w:sz w:val="30"/>
        </w:rPr>
        <w:t>—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40"/>
          <w:pgMar w:top="1781" w:right="100" w:bottom="0" w:left="1652" w:header="720" w:footer="720" w:gutter="0"/>
          <w:pgNumType w:start="1"/>
          <w:cols w:space="720" w:num="1"/>
          <w:docGrid w:linePitch="1" w:charSpace="0"/>
        </w:sect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17.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学校法律风险防控体系建设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18.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新时代高校章程建设研究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19.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师生权益保护制度研究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20.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未成年保护法实施问题及对策研究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21.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防范校园欺凌体制机制研究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22.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中小学教育惩戒机制研究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23.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校规校纪中的惩戒合理性审查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24.</w:t>
      </w:r>
      <w:r>
        <w:rPr>
          <w:rFonts w:ascii="QOOLLP+FangSong_GB2312" w:hAnsi="QOOLLP+FangSong_GB2312" w:cs="QOOLLP+FangSong_GB2312"/>
          <w:color w:val="000000"/>
          <w:spacing w:val="-3"/>
          <w:sz w:val="32"/>
        </w:rPr>
        <w:t>学术不端的处理机制研究</w:t>
      </w:r>
    </w:p>
    <w:p>
      <w:pPr>
        <w:spacing w:before="275" w:after="0" w:line="325" w:lineRule="exact"/>
        <w:ind w:left="63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CAPHBR+FangSong_GB2312"/>
          <w:color w:val="000000"/>
          <w:spacing w:val="5"/>
          <w:sz w:val="32"/>
        </w:rPr>
        <w:t>25.</w:t>
      </w:r>
      <w:r>
        <w:rPr>
          <w:rFonts w:ascii="QOOLLP+FangSong_GB2312" w:hAnsi="QOOLLP+FangSong_GB2312" w:cs="QOOLLP+FangSong_GB2312"/>
          <w:color w:val="000000"/>
          <w:spacing w:val="-4"/>
          <w:sz w:val="32"/>
        </w:rPr>
        <w:t>学校法治教育与家庭教育、社会教育的互动机制研究</w:t>
      </w:r>
    </w:p>
    <w:p>
      <w:pPr>
        <w:spacing w:before="7854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QOOLLP+FangSong_GB2312" w:hAnsi="QOOLLP+FangSong_GB2312" w:cs="QOOLLP+FangSong_GB2312"/>
          <w:color w:val="000000"/>
          <w:spacing w:val="0"/>
          <w:sz w:val="30"/>
        </w:rPr>
        <w:t>—</w:t>
      </w:r>
      <w:r>
        <w:rPr>
          <w:rFonts w:ascii="Times New Roman"/>
          <w:color w:val="000000"/>
          <w:spacing w:val="75"/>
          <w:sz w:val="30"/>
        </w:rPr>
        <w:t xml:space="preserve"> </w:t>
      </w:r>
      <w:r>
        <w:rPr>
          <w:rFonts w:ascii="CAPHBR+FangSong_GB2312"/>
          <w:color w:val="000000"/>
          <w:spacing w:val="0"/>
          <w:sz w:val="30"/>
        </w:rPr>
        <w:t>6</w:t>
      </w:r>
      <w:r>
        <w:rPr>
          <w:rFonts w:ascii="CAPHBR+FangSong_GB2312"/>
          <w:color w:val="000000"/>
          <w:spacing w:val="1"/>
          <w:sz w:val="30"/>
        </w:rPr>
        <w:t xml:space="preserve"> </w:t>
      </w:r>
      <w:r>
        <w:rPr>
          <w:rFonts w:ascii="QOOLLP+FangSong_GB2312" w:hAnsi="QOOLLP+FangSong_GB2312" w:cs="QOOLLP+FangSong_GB2312"/>
          <w:color w:val="000000"/>
          <w:spacing w:val="0"/>
          <w:sz w:val="30"/>
        </w:rPr>
        <w:t>—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WJBWE+FZXiaoBiaoSong-B05S">
    <w:altName w:val="宋体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CAPHBR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QOOLLP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0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2021-10-21T08:59:04Z</dcterms:created>
  <dc:creator>Administrator</dc:creator>
  <cp:lastModifiedBy>李永红</cp:lastModifiedBy>
  <dcterms:modified xsi:type="dcterms:W3CDTF">2021-10-21T08:59:10Z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53BFD38EE8284E05B1836CC33E03E4BC</vt:lpwstr>
  </property>
</Properties>
</file>